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SARA VIDEIRO DE SOUZA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Nascimento: 23/02/2002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Idade: 20 anos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Contato: (35)99729-9378 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sz w:val="26"/>
          <w:szCs w:val="26"/>
          <w:rtl w:val="0"/>
        </w:rPr>
        <w:t xml:space="preserve">E-mail: saravideiro@gmail.com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Estado Civil: Solteira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OBJETIVO: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Cargo: A combinar.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FORMAÇÃO: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Ensino médio completo (2019)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Cursando Direito (Anhanguera) 6° período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CURSOS PROFISSIONALIZANTES: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Aprendizagem Comercial em Serviços de Supermercado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Informática Administrativa (Microcamp)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Serviço Nacional de Aprendizagem Comercial-SENAC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EXPERIÊNCIA PROFISSIONAL: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Empresa: Vila Sul Supermercados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Cargo: Jovem aprendiz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Estágio na Prefeitura Municipal de Poços de Caldas no setor de fiscalização tributária,no período de 06 meses.</w:t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Empresa: Start outdoor</w:t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Cargo: Auxiliar de impressão</w:t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